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DC00" w14:textId="7458D9E0" w:rsidR="006F29B4" w:rsidRDefault="00F55338" w:rsidP="006F29B4">
      <w:pPr>
        <w:jc w:val="center"/>
        <w:rPr>
          <w:rFonts w:ascii="Evolventa" w:eastAsia="Times New Roman" w:hAnsi="Evolventa" w:cs="Segoe UI"/>
          <w:b/>
          <w:bCs/>
          <w:color w:val="404040"/>
          <w:kern w:val="0"/>
          <w:sz w:val="32"/>
          <w:lang w:eastAsia="ru-RU"/>
          <w14:ligatures w14:val="none"/>
        </w:rPr>
      </w:pPr>
      <w:r w:rsidRPr="00F55338">
        <w:rPr>
          <w:rFonts w:ascii="Evolventa" w:eastAsia="Times New Roman" w:hAnsi="Evolventa" w:cs="Segoe UI"/>
          <w:b/>
          <w:bCs/>
          <w:color w:val="404040"/>
          <w:kern w:val="0"/>
          <w:sz w:val="32"/>
          <w:lang w:eastAsia="ru-RU"/>
          <w14:ligatures w14:val="none"/>
        </w:rPr>
        <w:t>Этический кодекс АРК</w:t>
      </w:r>
    </w:p>
    <w:p w14:paraId="66EB1E6F" w14:textId="64FB67DB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Введение и цель</w:t>
      </w:r>
    </w:p>
    <w:p w14:paraId="2C38998D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Этический кодекс устанавливает основополагающие принципы, обязанности и нормы профессионального поведения для членов АРК. Разъяснения к кодексу, являющиеся неотъемлемой частью Этического кодекса, описывают используемые далее понятия, а также отдельные типичные ситуации применения этических норм, но не ограничивают их состав.</w:t>
      </w:r>
    </w:p>
    <w:p w14:paraId="449F9FC2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Кодекс и Разъяснения к кодексу распространяются на непосредственную профессиональную деятельность коуч-компетентных специалистов, коучей, супервизоров и мета-супервизоров, организаторов и преподавателей аккредитованных программ обучения.</w:t>
      </w:r>
    </w:p>
    <w:p w14:paraId="6D5E8FF1" w14:textId="3EB5197D" w:rsidR="00F55338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Кодекс и Разъяснения к кодексу служат надежным руководством для практики, повышают доверие к профессии, помогают в решении сложных этических ситуаций.</w:t>
      </w:r>
    </w:p>
    <w:p w14:paraId="5FC5134D" w14:textId="28577ABE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Основные принципы</w:t>
      </w:r>
    </w:p>
    <w:p w14:paraId="26824977" w14:textId="77777777" w:rsidR="00F55338" w:rsidRPr="006F29B4" w:rsidRDefault="00F55338" w:rsidP="00EB4A20">
      <w:pPr>
        <w:spacing w:before="12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Члены АРК осуществляют деятельность, руководствуясь следующими этическими принципами:</w:t>
      </w:r>
    </w:p>
    <w:p w14:paraId="38BD6FC8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Добровольность клиента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Уважать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автономию клиента и его права на то, чтобы начинать, прерывать, возобновлять и прекращать профессиональные отношения, принимать информированные решения и нести за них ответственность.</w:t>
      </w:r>
    </w:p>
    <w:p w14:paraId="1B7E70A6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Ответственность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Действовать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добросовестно, заключать ясные договоренности и соблюдать их.</w:t>
      </w:r>
    </w:p>
    <w:p w14:paraId="5707E73F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Конфиденциальность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Сохранять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в тайне информацию, полученную от клиента, заказчика и других заинтересованных сторон, за исключением случаев, предусмотренных законодательством или связанных с риском причинения вреда.</w:t>
      </w:r>
    </w:p>
    <w:p w14:paraId="7D1118AA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Компетентность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Работать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в пределах своей квалификации и опыта, постоянно стремиться к их повышению.</w:t>
      </w:r>
    </w:p>
    <w:p w14:paraId="40A70CB1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Избегание конфликта интересов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Исключать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или минимизировать ситуации, где личные или другие интересы могут повлиять на работу с клиентом.</w:t>
      </w:r>
    </w:p>
    <w:p w14:paraId="453C23FB" w14:textId="68E552D1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Качественное оказание услуг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Предоставлять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услуги наивысшего качества, используя профессиональный опыт, образование, рефлексивную практику и супервизии.</w:t>
      </w:r>
    </w:p>
    <w:p w14:paraId="2F3D2F39" w14:textId="48363E51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Взаимодействие с клиентами и заказчиками</w:t>
      </w:r>
    </w:p>
    <w:p w14:paraId="1F98381A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Заключение соглашения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До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начала работы прояснить ожидания и заключить ясные соглашения с клиентом и заинтересованными сторонами. Явно и полно согласовать процессы взаимодействия, условия и границы конфиденциальности, финансовые договоренности. В случае работы с заказчиком установить ясные договоренности об обмене информацией между всеми заинтересованными сторонами.</w:t>
      </w:r>
    </w:p>
    <w:p w14:paraId="2A98D594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Конфиденциальность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Поддерживать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высочайший уровень конфиденциальности. Ясно согласовать условия, при которых конфиденциальность не сохраняется, за исключением требуемых законом случаев. Вести, хранить и удалять информацию о клиентах конфиденциально, защищенно и в соответствии с законодательством о защите персональных данных. Выносить случай клиента на супервизию только с прямого разрешения клиента, сохраняя его анонимность. Ответственность за конфиденциальность продолжается после прекращения отношений.</w:t>
      </w:r>
    </w:p>
    <w:p w14:paraId="41FCFD63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lastRenderedPageBreak/>
        <w:t>Границы и конфликты интересов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Устанавливать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и соблюдать четкие, уместные, культурно чувствительные границы. Строго избегать романтических или сексуальных отношений с действующими клиентами, заказчиками и другими заинтересованными сторонами. Не извлекать неуместную выгоду из отношений с клиентом. Избегать множественных отношений и конфликтов интересов, обсуждать их заблаговременно и эффективно. Быть готовым прекратить отношения, если конфликт интересов нельзя устранить.</w:t>
      </w:r>
    </w:p>
    <w:p w14:paraId="0C98C181" w14:textId="1B0FA36B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Прекращение отношений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Уважать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право клиента прервать отношения на любом этапе. Рекомендовать обратиться к другому специалисту, если это будет продуктивнее для клиента.</w:t>
      </w:r>
    </w:p>
    <w:p w14:paraId="5B442723" w14:textId="5DB06C46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Член АРК как профессионал обязуется</w:t>
      </w:r>
    </w:p>
    <w:p w14:paraId="430B70DE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Компетентность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Действовать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в рамках своих профессиональных компетенций. Непрерывно повышать осознанность в отношении границ своих компетенций.</w:t>
      </w:r>
    </w:p>
    <w:p w14:paraId="37AFF932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Открытая коммуникация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Честно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и недвусмысленно представлять информацию о своем опыте, квалификации и аккредитации завершенных обучающих программ. Явно информировать потенциальных клиентов и заказчиков о приверженности Этическому кодексу АРК и путях разрешения этических конфликтов при их возникновении.</w:t>
      </w:r>
    </w:p>
    <w:p w14:paraId="3655E015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Маркетинг, реклама и продажи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Формировать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 клиента и заказчика реалистичные ожидания о результатах предоставляемых услуг. Заявлять об эффективности и превосходстве методов, модальностей, подходов и техник только с указанием прямых ссылок на наилучшие доступные научные доказательства таких утверждений. Избегать использования манипулятивных маркетинговых техник и уловок. Публиковать случаи и отзывы клиентов только с их прямого разрешения после завершения отношений.</w:t>
      </w:r>
    </w:p>
    <w:p w14:paraId="1533F832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Непрерывное развитие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Заботиться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о собственном развитии и повышать профессиональную квалификацию. Регулярно выступать клиентом в коучинге и/или </w:t>
      </w:r>
      <w:proofErr w:type="spellStart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менторинге</w:t>
      </w:r>
      <w:proofErr w:type="spell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. Развивать компетенции и навыки, участвуя в соответствующих мероприятиях.</w:t>
      </w:r>
    </w:p>
    <w:p w14:paraId="4780F8A2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Личное благополучие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Заботиться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о собственном психологическом, физическом, социальном благополучии, влияющем на качество деятельности, и при необходимости обращаться за профессиональной помощью.</w:t>
      </w:r>
    </w:p>
    <w:p w14:paraId="37F66173" w14:textId="5D7AB50F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567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Супервизия и рефлексивная практика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Регулярно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проходить супервизию. Постоянно рефлексировать и оценивать качество предоставляемых услуг. Систематически анализировать и осмыслять свою практику с опорой на стандарты, профессиональные компетенции и Этический кодекс АРК.</w:t>
      </w:r>
    </w:p>
    <w:p w14:paraId="02054CB3" w14:textId="1288653C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Взаимодействие с профессиональным сообществом и обществом</w:t>
      </w:r>
    </w:p>
    <w:p w14:paraId="24AFFF08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С сообществом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Уважать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коллег. Признавать достижения и вклад других людей. Информировать коллег о возможном нарушении ими Этического кодекса АРК в случае возникновения мотивированных опасений. Решать конфликтные вопросы в конфиденциальном личном диалоге и через посредничество Этического совета АРК, избегая публичного обсуждения. Вносить вклад в развитие профессионального сообщества.</w:t>
      </w:r>
    </w:p>
    <w:p w14:paraId="00DA8274" w14:textId="7B080100" w:rsidR="00F55338" w:rsidRPr="00EB4A20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EB4A20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С обществом</w:t>
      </w:r>
      <w:proofErr w:type="gramStart"/>
      <w:r w:rsidRPr="00EB4A20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EB4A20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Осуществлять</w:t>
      </w:r>
      <w:proofErr w:type="gramEnd"/>
      <w:r w:rsidRPr="00EB4A20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деятельность в строгом соответствии с законодательством. Принимать на себя полную ответственность за публично высказываемые мнения относительно профессии. Действовать так, чтобы это благотворно отражалось на коучинге как на профессии, способствуя общественному пониманию и принятию. Демонстрировать соответствие слов и действий этическим нормам на </w:t>
      </w:r>
      <w:r w:rsidRPr="00EB4A20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lastRenderedPageBreak/>
        <w:t>профессиональных мероприятиях и в публичной коммуникации. Избегать сознательной дискриминации и стремиться минимизировать бессознательные предубеждения. Эффективно использовать технологии, соблюдая профессиональные стандарты и этические нормы.</w:t>
      </w:r>
    </w:p>
    <w:p w14:paraId="04809FAD" w14:textId="5B74C09F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Взаимодействие обучающих организаций с профессиональным сообществом</w:t>
      </w:r>
    </w:p>
    <w:p w14:paraId="4A81DCA5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Маркетинг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Честно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и недвусмысленно представлять информацию о действующей аккредитации обучающих программ в АРК, наличии/отсутствии образовательной лицензии РФ, выдаваемых документах о завершении обучающих программ. Информировать потенциальных обучающихся о приверженности Этическому кодексу АРК и способах разрешения этических конфликтов при их возникновении.</w:t>
      </w:r>
    </w:p>
    <w:p w14:paraId="60C14D50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Реклама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Формировать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реалистичные ожидания у потенциальных обучающихся об их компетенциях, квалификации и уровне дохода после завершения обучающих программ.</w:t>
      </w:r>
    </w:p>
    <w:p w14:paraId="10740F2A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Финансовые отношения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Явно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и полно представлять потенциальным обучающимся условия и способы оплаты и рассрочки, возврата средств.</w:t>
      </w:r>
    </w:p>
    <w:p w14:paraId="0EEA9FBA" w14:textId="0F1AC13E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Обратная связь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Реагировать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на обратную связь от обучающихся и профессионального сообщества, повышая качество образовательных услуг и внешних коммуникаций.</w:t>
      </w:r>
    </w:p>
    <w:p w14:paraId="59FE5C0A" w14:textId="6E602C1A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Разрешение этических дилемм и нарушений</w:t>
      </w:r>
    </w:p>
    <w:p w14:paraId="7558962F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Предусмотрительность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Учиться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различать и предупреждать трудности до того, как они наступят, действуя более дальновидно и проактивно.</w:t>
      </w:r>
    </w:p>
    <w:p w14:paraId="4EE94702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Готовность к разрешению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Признавать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право клиента, заказчика и представителей профессионального сообщества призвать члена АРК к соблюдению этических норм, устранению нарушения и/или к разрешению конфликтной ситуации напрямую или через Этический совет АРК.</w:t>
      </w:r>
    </w:p>
    <w:p w14:paraId="58DEDB9B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Прямое разрешение</w:t>
      </w:r>
      <w:proofErr w:type="gramStart"/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При</w:t>
      </w:r>
      <w:proofErr w:type="gramEnd"/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возникновении спорных ситуаций и конфликтов стремиться разрешить их напрямую, опираясь на нормы Этического кодекса.</w:t>
      </w:r>
    </w:p>
    <w:p w14:paraId="293AC7E5" w14:textId="77777777" w:rsidR="00F55338" w:rsidRPr="006F29B4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Разрешение через посредничество: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В случаях, когда этические дилеммы и нарушения, спорные ситуации, конфликты не удается разрешить напрямую, обращаться к супервизору АРК и/или в Этический совет АРК.</w:t>
      </w:r>
    </w:p>
    <w:p w14:paraId="380E694E" w14:textId="3DEA2061" w:rsidR="00F55338" w:rsidRPr="00EB4A20" w:rsidRDefault="00F55338" w:rsidP="00D22F0B">
      <w:pPr>
        <w:pStyle w:val="a7"/>
        <w:numPr>
          <w:ilvl w:val="1"/>
          <w:numId w:val="13"/>
        </w:numPr>
        <w:spacing w:before="120"/>
        <w:ind w:left="709" w:firstLine="0"/>
        <w:contextualSpacing w:val="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Санкции:</w:t>
      </w: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 xml:space="preserve"> Нарушение Этического кодекса может повлечь за собой санкции, включая приостановку квалификации АРК, членства в АРК или аккредитации обучающей программы в АРК.</w:t>
      </w:r>
    </w:p>
    <w:p w14:paraId="564B3BC6" w14:textId="60C6E5B5" w:rsidR="00F55338" w:rsidRPr="006F29B4" w:rsidRDefault="00F55338" w:rsidP="00EB4A20">
      <w:pPr>
        <w:pStyle w:val="a7"/>
        <w:numPr>
          <w:ilvl w:val="0"/>
          <w:numId w:val="13"/>
        </w:numPr>
        <w:spacing w:before="480" w:after="120"/>
        <w:ind w:left="0" w:firstLine="0"/>
        <w:contextualSpacing w:val="0"/>
        <w:jc w:val="both"/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b/>
          <w:bCs/>
          <w:color w:val="404040"/>
          <w:kern w:val="0"/>
          <w:sz w:val="22"/>
          <w:lang w:eastAsia="ru-RU"/>
          <w14:ligatures w14:val="none"/>
        </w:rPr>
        <w:t>Этическое обязательство члена АРК</w:t>
      </w:r>
    </w:p>
    <w:p w14:paraId="1F40FA3E" w14:textId="77777777" w:rsidR="00F55338" w:rsidRPr="006F29B4" w:rsidRDefault="00F55338" w:rsidP="00EB4A20">
      <w:pPr>
        <w:spacing w:before="12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Как член АРК, я признаю свою моральную ответственность и обязательства перед клиентами и заказчиками, обучающимися, коллегами, Ассоциацией и обществом в целом.</w:t>
      </w:r>
    </w:p>
    <w:p w14:paraId="1ACCD1CD" w14:textId="77777777" w:rsidR="00F55338" w:rsidRPr="006F29B4" w:rsidRDefault="00F55338" w:rsidP="00EB4A20">
      <w:pPr>
        <w:spacing w:before="12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</w:p>
    <w:p w14:paraId="3E995E92" w14:textId="77777777" w:rsidR="00F55338" w:rsidRPr="006F29B4" w:rsidRDefault="00F55338" w:rsidP="00EB4A20">
      <w:pPr>
        <w:spacing w:before="12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  <w:r w:rsidRPr="006F29B4"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  <w:t>Я обязуюсь соблюдать Этический кодекс АРК и следовать его нормам.</w:t>
      </w:r>
    </w:p>
    <w:p w14:paraId="19D7F74B" w14:textId="77777777" w:rsidR="0081156B" w:rsidRPr="006F29B4" w:rsidRDefault="0081156B" w:rsidP="00EB4A20">
      <w:pPr>
        <w:spacing w:before="120"/>
        <w:jc w:val="both"/>
        <w:rPr>
          <w:rFonts w:ascii="Evolventa" w:eastAsia="Times New Roman" w:hAnsi="Evolventa" w:cs="Segoe UI"/>
          <w:color w:val="404040"/>
          <w:kern w:val="0"/>
          <w:sz w:val="22"/>
          <w:lang w:eastAsia="ru-RU"/>
          <w14:ligatures w14:val="none"/>
        </w:rPr>
      </w:pPr>
    </w:p>
    <w:sectPr w:rsidR="0081156B" w:rsidRPr="006F29B4" w:rsidSect="006F29B4">
      <w:headerReference w:type="default" r:id="rId7"/>
      <w:pgSz w:w="11906" w:h="16838"/>
      <w:pgMar w:top="184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A732" w14:textId="77777777" w:rsidR="00CF1BE7" w:rsidRDefault="00CF1BE7" w:rsidP="00F46117">
      <w:r>
        <w:separator/>
      </w:r>
    </w:p>
  </w:endnote>
  <w:endnote w:type="continuationSeparator" w:id="0">
    <w:p w14:paraId="2B408315" w14:textId="77777777" w:rsidR="00CF1BE7" w:rsidRDefault="00CF1BE7" w:rsidP="00F4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volventa">
    <w:altName w:val="Calibri"/>
    <w:charset w:val="CC"/>
    <w:family w:val="swiss"/>
    <w:pitch w:val="variable"/>
    <w:sig w:usb0="8000026F" w:usb1="5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5111" w14:textId="77777777" w:rsidR="00CF1BE7" w:rsidRDefault="00CF1BE7" w:rsidP="00F46117">
      <w:r>
        <w:separator/>
      </w:r>
    </w:p>
  </w:footnote>
  <w:footnote w:type="continuationSeparator" w:id="0">
    <w:p w14:paraId="52EF08C2" w14:textId="77777777" w:rsidR="00CF1BE7" w:rsidRDefault="00CF1BE7" w:rsidP="00F4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3A13" w14:textId="41DB53F7" w:rsidR="00F46117" w:rsidRDefault="00F46117" w:rsidP="00F46117">
    <w:pPr>
      <w:pStyle w:val="ae"/>
      <w:jc w:val="center"/>
    </w:pPr>
    <w:r>
      <w:rPr>
        <w:noProof/>
        <w:lang w:eastAsia="ru-RU"/>
      </w:rPr>
      <w:drawing>
        <wp:inline distT="0" distB="0" distL="0" distR="0" wp14:anchorId="1630FA4F" wp14:editId="6FFF586D">
          <wp:extent cx="1428750" cy="571500"/>
          <wp:effectExtent l="0" t="0" r="0" b="0"/>
          <wp:docPr id="162055798" name="Рисунок 162055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-АРК_175_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F02"/>
    <w:multiLevelType w:val="multilevel"/>
    <w:tmpl w:val="B978D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044C77"/>
    <w:multiLevelType w:val="multilevel"/>
    <w:tmpl w:val="7740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0086"/>
    <w:multiLevelType w:val="multilevel"/>
    <w:tmpl w:val="6E5C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350AC"/>
    <w:multiLevelType w:val="multilevel"/>
    <w:tmpl w:val="470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2116A"/>
    <w:multiLevelType w:val="multilevel"/>
    <w:tmpl w:val="972CDA46"/>
    <w:lvl w:ilvl="0">
      <w:start w:val="1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FE6F86"/>
    <w:multiLevelType w:val="multilevel"/>
    <w:tmpl w:val="574A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C1D49"/>
    <w:multiLevelType w:val="multilevel"/>
    <w:tmpl w:val="50705CF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331812"/>
    <w:multiLevelType w:val="hybridMultilevel"/>
    <w:tmpl w:val="59C41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E5421"/>
    <w:multiLevelType w:val="multilevel"/>
    <w:tmpl w:val="626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F504D"/>
    <w:multiLevelType w:val="hybridMultilevel"/>
    <w:tmpl w:val="B84CB242"/>
    <w:lvl w:ilvl="0" w:tplc="2F123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ED144C"/>
    <w:multiLevelType w:val="multilevel"/>
    <w:tmpl w:val="DA7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81817"/>
    <w:multiLevelType w:val="hybridMultilevel"/>
    <w:tmpl w:val="E4923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06480"/>
    <w:multiLevelType w:val="multilevel"/>
    <w:tmpl w:val="E92CF7FA"/>
    <w:lvl w:ilvl="0">
      <w:start w:val="1"/>
      <w:numFmt w:val="decimal"/>
      <w:lvlText w:val="%1."/>
      <w:lvlJc w:val="left"/>
      <w:pPr>
        <w:ind w:left="9008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8" w:hanging="1800"/>
      </w:pPr>
      <w:rPr>
        <w:rFonts w:hint="default"/>
      </w:rPr>
    </w:lvl>
  </w:abstractNum>
  <w:num w:numId="1" w16cid:durableId="397630679">
    <w:abstractNumId w:val="10"/>
  </w:num>
  <w:num w:numId="2" w16cid:durableId="1489714572">
    <w:abstractNumId w:val="1"/>
  </w:num>
  <w:num w:numId="3" w16cid:durableId="1389719925">
    <w:abstractNumId w:val="5"/>
  </w:num>
  <w:num w:numId="4" w16cid:durableId="274602885">
    <w:abstractNumId w:val="3"/>
  </w:num>
  <w:num w:numId="5" w16cid:durableId="1499342481">
    <w:abstractNumId w:val="8"/>
  </w:num>
  <w:num w:numId="6" w16cid:durableId="729886145">
    <w:abstractNumId w:val="2"/>
  </w:num>
  <w:num w:numId="7" w16cid:durableId="1795177382">
    <w:abstractNumId w:val="7"/>
  </w:num>
  <w:num w:numId="8" w16cid:durableId="485711255">
    <w:abstractNumId w:val="12"/>
  </w:num>
  <w:num w:numId="9" w16cid:durableId="728189629">
    <w:abstractNumId w:val="4"/>
  </w:num>
  <w:num w:numId="10" w16cid:durableId="46536497">
    <w:abstractNumId w:val="6"/>
  </w:num>
  <w:num w:numId="11" w16cid:durableId="402220309">
    <w:abstractNumId w:val="11"/>
  </w:num>
  <w:num w:numId="12" w16cid:durableId="1219197612">
    <w:abstractNumId w:val="9"/>
  </w:num>
  <w:num w:numId="13" w16cid:durableId="175724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D6"/>
    <w:rsid w:val="00020031"/>
    <w:rsid w:val="000510E4"/>
    <w:rsid w:val="00085A72"/>
    <w:rsid w:val="000A75F4"/>
    <w:rsid w:val="001149C6"/>
    <w:rsid w:val="001526E9"/>
    <w:rsid w:val="00283324"/>
    <w:rsid w:val="00374F5D"/>
    <w:rsid w:val="003E5689"/>
    <w:rsid w:val="00436900"/>
    <w:rsid w:val="0046133C"/>
    <w:rsid w:val="004D2F02"/>
    <w:rsid w:val="006233D6"/>
    <w:rsid w:val="00626425"/>
    <w:rsid w:val="00663EF0"/>
    <w:rsid w:val="006F29B4"/>
    <w:rsid w:val="0072425D"/>
    <w:rsid w:val="007658B2"/>
    <w:rsid w:val="0081156B"/>
    <w:rsid w:val="00845718"/>
    <w:rsid w:val="008570CC"/>
    <w:rsid w:val="008C4C12"/>
    <w:rsid w:val="0094205F"/>
    <w:rsid w:val="00A370C3"/>
    <w:rsid w:val="00A662A9"/>
    <w:rsid w:val="00A85518"/>
    <w:rsid w:val="00BC1A62"/>
    <w:rsid w:val="00C84186"/>
    <w:rsid w:val="00CA79CE"/>
    <w:rsid w:val="00CF1BE7"/>
    <w:rsid w:val="00D22F0B"/>
    <w:rsid w:val="00D61F19"/>
    <w:rsid w:val="00DD34F8"/>
    <w:rsid w:val="00E774A4"/>
    <w:rsid w:val="00EB4A20"/>
    <w:rsid w:val="00F46117"/>
    <w:rsid w:val="00F55338"/>
    <w:rsid w:val="00F8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6F553"/>
  <w15:chartTrackingRefBased/>
  <w15:docId w15:val="{51796D67-19DB-534E-8CE1-21ABFE95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23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3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23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3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3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3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3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3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3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3D6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233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6233D6"/>
    <w:rPr>
      <w:b/>
      <w:bCs/>
    </w:rPr>
  </w:style>
  <w:style w:type="character" w:customStyle="1" w:styleId="apple-converted-space">
    <w:name w:val="apple-converted-space"/>
    <w:basedOn w:val="a0"/>
    <w:rsid w:val="006233D6"/>
  </w:style>
  <w:style w:type="character" w:styleId="ad">
    <w:name w:val="Emphasis"/>
    <w:basedOn w:val="a0"/>
    <w:uiPriority w:val="20"/>
    <w:qFormat/>
    <w:rsid w:val="006233D6"/>
    <w:rPr>
      <w:i/>
      <w:iCs/>
    </w:rPr>
  </w:style>
  <w:style w:type="paragraph" w:styleId="ae">
    <w:name w:val="header"/>
    <w:basedOn w:val="a"/>
    <w:link w:val="af"/>
    <w:uiPriority w:val="99"/>
    <w:unhideWhenUsed/>
    <w:rsid w:val="00F4611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6117"/>
  </w:style>
  <w:style w:type="paragraph" w:styleId="af0">
    <w:name w:val="footer"/>
    <w:basedOn w:val="a"/>
    <w:link w:val="af1"/>
    <w:uiPriority w:val="99"/>
    <w:unhideWhenUsed/>
    <w:rsid w:val="00F461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Pavlovets</dc:creator>
  <cp:keywords/>
  <dc:description/>
  <cp:lastModifiedBy>A. K.</cp:lastModifiedBy>
  <cp:revision>6</cp:revision>
  <cp:lastPrinted>2025-10-08T13:39:00Z</cp:lastPrinted>
  <dcterms:created xsi:type="dcterms:W3CDTF">2025-10-08T12:27:00Z</dcterms:created>
  <dcterms:modified xsi:type="dcterms:W3CDTF">2025-10-08T13:41:00Z</dcterms:modified>
</cp:coreProperties>
</file>